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D" w:rsidRPr="00D2329D" w:rsidRDefault="00D2329D" w:rsidP="00D232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3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tbl>
      <w:tblPr>
        <w:tblW w:w="10575" w:type="dxa"/>
        <w:tblInd w:w="-788" w:type="dxa"/>
        <w:tblLook w:val="04A0" w:firstRow="1" w:lastRow="0" w:firstColumn="1" w:lastColumn="0" w:noHBand="0" w:noVBand="1"/>
      </w:tblPr>
      <w:tblGrid>
        <w:gridCol w:w="2620"/>
        <w:gridCol w:w="2445"/>
        <w:gridCol w:w="820"/>
        <w:gridCol w:w="780"/>
        <w:gridCol w:w="468"/>
        <w:gridCol w:w="435"/>
        <w:gridCol w:w="381"/>
        <w:gridCol w:w="1203"/>
        <w:gridCol w:w="1423"/>
      </w:tblGrid>
      <w:tr w:rsidR="00D2329D" w:rsidRPr="00D2329D" w:rsidTr="00D2329D">
        <w:trPr>
          <w:trHeight w:val="915"/>
        </w:trPr>
        <w:tc>
          <w:tcPr>
            <w:tcW w:w="10575" w:type="dxa"/>
            <w:gridSpan w:val="9"/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Форма мониторинга реализации Плана мероприятий ("дорожной карты")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2329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(2013-2018 годы)</w:t>
            </w: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329D" w:rsidRPr="00D2329D" w:rsidTr="00D2329D">
        <w:trPr>
          <w:trHeight w:val="300"/>
        </w:trPr>
        <w:tc>
          <w:tcPr>
            <w:tcW w:w="10575" w:type="dxa"/>
            <w:gridSpan w:val="9"/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органом государственной власти субъекта Российской Федерации)</w:t>
            </w: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СРЦН «Радуга»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0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наименование субъекта Российской Федерации)</w:t>
            </w:r>
          </w:p>
        </w:tc>
      </w:tr>
      <w:tr w:rsidR="00D2329D" w:rsidRPr="00D2329D" w:rsidTr="00D2329D">
        <w:trPr>
          <w:trHeight w:val="1176"/>
        </w:trPr>
        <w:tc>
          <w:tcPr>
            <w:tcW w:w="2620" w:type="dxa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955" w:type="dxa"/>
            <w:gridSpan w:val="8"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Смоленской области от 06.05.2014 N 327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 утверждении плана мероприятий ("дорожной карты") "Повышение эффективности и качества услуг в сфере социального обслуживания населения в Смоленской области (2013 - 2018 годы)" (в редакции от 17.05.2017 № 317)</w:t>
            </w: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    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(100%)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</w:tr>
      <w:tr w:rsidR="00D2329D" w:rsidRPr="00D2329D" w:rsidTr="00D2329D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   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(100%)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( 100%)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</w:tr>
      <w:tr w:rsidR="00D2329D" w:rsidRPr="00D2329D" w:rsidTr="00D2329D">
        <w:trPr>
          <w:trHeight w:val="35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803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    (100%)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(100%)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(100%)</w:t>
            </w: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                (3%)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 (3%)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      (82%)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(82%)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Дети, находящиеся в трудной жизненной ситуации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             (70%)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(70%)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(76%)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(77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D2329D" w:rsidRPr="00D2329D" w:rsidTr="00D2329D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Инвалиды, не достигшие пенсионного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8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88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8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68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9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психоневрологического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28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 пожилого возраста и инвалидов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3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семей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3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2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других категорий 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2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2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семей и граждан, находящихся в обстоятельствах, которые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ухудшают или могут ухудшить условия их жизнедеятельности, детей-инвалидов, детей с ограниченными возможностями здоровья, детей, находящихся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28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семей и граждан, находящихся в обстоятельствах, которые ухудшают или могут ухудшить условия их жизнедеятельности, детей-инвалидов, детей с ограниченными возможностями здоровья, детей, находящихся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29D" w:rsidRPr="00D2329D" w:rsidRDefault="00D2329D" w:rsidP="00D2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МОНИТОРИНГА </w:t>
      </w:r>
    </w:p>
    <w:p w:rsidR="00D2329D" w:rsidRPr="00D2329D" w:rsidRDefault="00D2329D" w:rsidP="00D2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мероприятий («дорожной карты») «Повышение эффективности и качества услуг в сфере социального обслуживания населения </w:t>
      </w:r>
    </w:p>
    <w:p w:rsidR="00D2329D" w:rsidRPr="00D2329D" w:rsidRDefault="00D2329D" w:rsidP="00D2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(2013-2018 годы)»</w:t>
      </w:r>
    </w:p>
    <w:p w:rsidR="00D2329D" w:rsidRPr="00D2329D" w:rsidRDefault="00D2329D" w:rsidP="00D2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22"/>
        <w:gridCol w:w="526"/>
        <w:gridCol w:w="312"/>
        <w:gridCol w:w="1357"/>
        <w:gridCol w:w="180"/>
        <w:gridCol w:w="954"/>
        <w:gridCol w:w="487"/>
        <w:gridCol w:w="773"/>
        <w:gridCol w:w="441"/>
        <w:gridCol w:w="426"/>
        <w:gridCol w:w="992"/>
        <w:gridCol w:w="720"/>
        <w:gridCol w:w="556"/>
        <w:gridCol w:w="543"/>
        <w:gridCol w:w="732"/>
        <w:gridCol w:w="232"/>
        <w:gridCol w:w="7"/>
      </w:tblGrid>
      <w:tr w:rsidR="00D2329D" w:rsidRPr="00D2329D" w:rsidTr="00D2329D">
        <w:trPr>
          <w:gridAfter w:val="2"/>
          <w:wAfter w:w="239" w:type="dxa"/>
          <w:trHeight w:val="757"/>
        </w:trPr>
        <w:tc>
          <w:tcPr>
            <w:tcW w:w="10321" w:type="dxa"/>
            <w:gridSpan w:val="15"/>
            <w:vAlign w:val="bottom"/>
          </w:tcPr>
          <w:p w:rsidR="00D2329D" w:rsidRPr="00D2329D" w:rsidRDefault="00D2329D" w:rsidP="00D2329D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2"/>
            <w:bookmarkEnd w:id="0"/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9D" w:rsidRPr="00D2329D" w:rsidTr="00D2329D">
        <w:trPr>
          <w:trHeight w:val="6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представления информации, характеризующей: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1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год;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Минтруда России 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(ориентировочно в январе года, следующего за отчетным)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46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выявленные существующие проблемы;</w:t>
            </w:r>
          </w:p>
        </w:tc>
        <w:tc>
          <w:tcPr>
            <w:tcW w:w="143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88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143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7" w:type="dxa"/>
          <w:trHeight w:val="255"/>
        </w:trPr>
        <w:tc>
          <w:tcPr>
            <w:tcW w:w="105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Мониторинг оптимизации структуры сети и штатной численности учреждений социального обслуживания населения субъектов Российской Федерации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489"/>
        </w:trPr>
        <w:tc>
          <w:tcPr>
            <w:tcW w:w="103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 оптимизации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(указать виды оптимизации):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59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59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After w:val="2"/>
          <w:wAfter w:w="239" w:type="dxa"/>
          <w:trHeight w:val="433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6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74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74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64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полустационарной форме социального обслуживания)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64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45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стационарных, всего, 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6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полустационарных,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нестационарных </w:t>
            </w: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76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00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Численность сокращенных должностей,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врачей,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4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21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0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14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59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работников,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7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6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09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7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71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65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50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оптимизации учреждений/ подразделений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1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70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27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42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8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67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28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2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92"/>
        </w:trPr>
        <w:tc>
          <w:tcPr>
            <w:tcW w:w="216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0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Число услуг, </w:t>
            </w: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0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срочных социальных услуг в виде  обеспечения горячим питанием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0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0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28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28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*Социально ориентированные некоммерческие организации, не являющиеся поставщиками социальных услуг  (оказывают услуги по организации и проведению фестивалей и других  мероприятий для инвалидов, по организации отдыха и оздоровления детей)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28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528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715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885"/>
        </w:trPr>
        <w:tc>
          <w:tcPr>
            <w:tcW w:w="10321" w:type="dxa"/>
            <w:gridSpan w:val="15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B2"/>
            <w:bookmarkEnd w:id="1"/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132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After w:val="2"/>
          <w:wAfter w:w="239" w:type="dxa"/>
          <w:trHeight w:val="7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23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объектов, не отвечающих требованиям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(всего, на начало отчетного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пожарной безопасности,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санитарно-эпидемиологическим правилам и нормам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23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обеспечению пожарной безопасности,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соблюдению санитарно-эпидемиологических правил и норм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Пенсионного фонда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Резервного фонда Президента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источников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486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053D7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053D7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053D7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053D7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2329D" w:rsidRPr="00D2329D" w:rsidTr="00D2329D">
        <w:trPr>
          <w:gridAfter w:val="2"/>
          <w:wAfter w:w="239" w:type="dxa"/>
          <w:trHeight w:val="70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70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территориальных управлений Роспотребнадзора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управлений Роструда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619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607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1607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территориальных управлений Роспотребнадзора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управлений Роструда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619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255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9" w:type="dxa"/>
          <w:trHeight w:val="349"/>
        </w:trPr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9E0BB6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234,1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86"/>
        <w:gridCol w:w="789"/>
        <w:gridCol w:w="792"/>
        <w:gridCol w:w="16"/>
        <w:gridCol w:w="776"/>
        <w:gridCol w:w="1634"/>
        <w:gridCol w:w="543"/>
        <w:gridCol w:w="486"/>
        <w:gridCol w:w="232"/>
        <w:gridCol w:w="298"/>
        <w:gridCol w:w="701"/>
        <w:gridCol w:w="100"/>
        <w:gridCol w:w="77"/>
        <w:gridCol w:w="256"/>
        <w:gridCol w:w="851"/>
        <w:gridCol w:w="78"/>
        <w:gridCol w:w="593"/>
        <w:gridCol w:w="46"/>
        <w:gridCol w:w="417"/>
        <w:gridCol w:w="131"/>
        <w:gridCol w:w="152"/>
        <w:gridCol w:w="878"/>
        <w:gridCol w:w="80"/>
        <w:gridCol w:w="2294"/>
        <w:gridCol w:w="40"/>
      </w:tblGrid>
      <w:tr w:rsidR="00D2329D" w:rsidRPr="00D2329D" w:rsidTr="00D2329D">
        <w:trPr>
          <w:trHeight w:val="397"/>
        </w:trPr>
        <w:tc>
          <w:tcPr>
            <w:tcW w:w="10632" w:type="dxa"/>
            <w:gridSpan w:val="22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414" w:type="dxa"/>
            <w:gridSpan w:val="3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9D" w:rsidRPr="00D2329D" w:rsidTr="00D2329D">
        <w:trPr>
          <w:gridAfter w:val="5"/>
          <w:wAfter w:w="3444" w:type="dxa"/>
          <w:trHeight w:val="255"/>
        </w:trPr>
        <w:tc>
          <w:tcPr>
            <w:tcW w:w="786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5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After w:val="3"/>
          <w:wAfter w:w="2414" w:type="dxa"/>
          <w:trHeight w:val="464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Укомплектованность кадрами: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штатных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вакантных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1C7283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53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подготовка и повышение квалификации специалистов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направленных за отчетный период на: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D6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повышение квалификации, всего, в том числе по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Сестринкое дело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юрист консульт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обучение, всего, в том  числе по 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перевозки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безопасности эксплуатации теплохозяйства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CD666C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русскому  жестовому языку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обеспечение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работы по управлению государственными финансами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на право работы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экологии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 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2329D" w:rsidRPr="00D2329D" w:rsidTr="00D2329D">
        <w:trPr>
          <w:gridAfter w:val="3"/>
          <w:wAfter w:w="2414" w:type="dxa"/>
          <w:trHeight w:val="273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наставничества в социальной сфере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утверждены:</w:t>
            </w: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организации наставничества</w:t>
            </w:r>
          </w:p>
        </w:tc>
        <w:tc>
          <w:tcPr>
            <w:tcW w:w="58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приказов областных государственных бюджетных и автономных учреждений в учреждениях созданы Положения об организации наставничества.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Планы по работе с молодыми специалистами </w:t>
            </w:r>
          </w:p>
        </w:tc>
        <w:tc>
          <w:tcPr>
            <w:tcW w:w="5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приказов областных государственных бюджетных и автономных учреждений в учреждениях утверждены Планы работы с молодыми специалистами.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3"/>
          <w:wAfter w:w="2414" w:type="dxa"/>
          <w:trHeight w:val="25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5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обучающие семинары на темы: «Социально-психологические проблемы пожилых людей», «Психология и этика профессиональной деятельности социального работника», «Оказание первой доврачебной помощи» и другие. Организована работа методического кабинета при ОГБУ «Смоленский КЦСОН».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40" w:type="dxa"/>
          <w:trHeight w:val="409"/>
        </w:trPr>
        <w:tc>
          <w:tcPr>
            <w:tcW w:w="9754" w:type="dxa"/>
            <w:gridSpan w:val="21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3252" w:type="dxa"/>
            <w:gridSpan w:val="3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9D" w:rsidRPr="00D2329D" w:rsidTr="00D2329D">
        <w:trPr>
          <w:gridAfter w:val="2"/>
          <w:wAfter w:w="2334" w:type="dxa"/>
          <w:trHeight w:val="314"/>
        </w:trPr>
        <w:tc>
          <w:tcPr>
            <w:tcW w:w="53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3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After w:val="2"/>
          <w:wAfter w:w="233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gridAfter w:val="2"/>
          <w:wAfter w:w="233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After w:val="2"/>
          <w:wAfter w:w="2334" w:type="dxa"/>
          <w:trHeight w:val="255"/>
        </w:trPr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>* Информация по данному пункту представляется в описательной части к Мониторингу</w:t>
      </w:r>
    </w:p>
    <w:p w:rsidR="00D2329D" w:rsidRPr="00D2329D" w:rsidRDefault="00D2329D" w:rsidP="00D2329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D" w:rsidRPr="00D2329D" w:rsidRDefault="00D2329D" w:rsidP="00D2329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D2329D" w:rsidRPr="00D2329D" w:rsidTr="00D2329D">
        <w:trPr>
          <w:trHeight w:val="630"/>
        </w:trPr>
        <w:tc>
          <w:tcPr>
            <w:tcW w:w="10260" w:type="dxa"/>
            <w:gridSpan w:val="8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D2329D" w:rsidRPr="00D2329D" w:rsidTr="00D2329D">
        <w:trPr>
          <w:trHeight w:val="255"/>
        </w:trPr>
        <w:tc>
          <w:tcPr>
            <w:tcW w:w="526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2675,76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6393,9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10075,0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15143,3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Заработная плата (КОСГУ 211)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3767,4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6025,8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9007,7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Заработная плата педагогических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4831,0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врачей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младшего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социальных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руководителей и их заместителей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 прочих работников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Прочие выплаты (КОСГУ 212)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Начисления на выплаты по оплате труда (КОСГУ 213)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292224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2708,4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Начисления на выплаты по оплате труда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9A58A0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1455,3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врачей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младшего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социальных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924,1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Услуги связи (КОСГУ 221)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Транспортные услуги (КОСГУ 222)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Коммунальные услуги (КОСГУ 223)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Арендная плата за пользование имуществом (КОСГУ 224)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Работы, услуги по содержанию имущества (КОСГУ 225)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Прочие работы, услуги (КОСГУ 226)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Пособие по социальной помощи населению (КОСГУ 262)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 Прочие расходы (КОСГУ 290)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 Увеличение стоимости основных средств (КОСГУ 310)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 Медикаменты, перевязочные средства и прочие лечебные расходы (КОСГУ 340/341)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 Продукты питания (КОСГУ 340/342)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2032,2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 Оплата горюче-смазочных материалов (КОСГУ 340/343)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 Оплата котельно-печного топлива (КОСГУ 340/344)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 Прочие расходы, не отнесенные к 341-344 (КОСГУ 340/345)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F03505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4"/>
        <w:gridCol w:w="211"/>
        <w:gridCol w:w="333"/>
        <w:gridCol w:w="421"/>
        <w:gridCol w:w="165"/>
        <w:gridCol w:w="461"/>
        <w:gridCol w:w="534"/>
        <w:gridCol w:w="2181"/>
        <w:gridCol w:w="1077"/>
        <w:gridCol w:w="530"/>
        <w:gridCol w:w="316"/>
        <w:gridCol w:w="288"/>
        <w:gridCol w:w="946"/>
        <w:gridCol w:w="50"/>
        <w:gridCol w:w="138"/>
        <w:gridCol w:w="768"/>
        <w:gridCol w:w="210"/>
        <w:gridCol w:w="156"/>
        <w:gridCol w:w="1134"/>
        <w:gridCol w:w="143"/>
      </w:tblGrid>
      <w:tr w:rsidR="00D2329D" w:rsidRPr="00D2329D" w:rsidTr="00D2329D">
        <w:trPr>
          <w:trHeight w:val="765"/>
        </w:trPr>
        <w:tc>
          <w:tcPr>
            <w:tcW w:w="10606" w:type="dxa"/>
            <w:gridSpan w:val="20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544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3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утверждающего План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After w:val="1"/>
          <w:wAfter w:w="143" w:type="dxa"/>
          <w:trHeight w:val="204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2329D" w:rsidRPr="00D2329D" w:rsidTr="00D2329D">
        <w:trPr>
          <w:gridAfter w:val="1"/>
          <w:wAfter w:w="143" w:type="dxa"/>
          <w:trHeight w:val="297"/>
        </w:trPr>
        <w:tc>
          <w:tcPr>
            <w:tcW w:w="1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765"/>
        </w:trPr>
        <w:tc>
          <w:tcPr>
            <w:tcW w:w="10463" w:type="dxa"/>
            <w:gridSpan w:val="19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Внедрение механизма частно-государственного партнерства в систему социального обслуживания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790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частно-государственного партнерства</w:t>
            </w:r>
          </w:p>
        </w:tc>
        <w:tc>
          <w:tcPr>
            <w:tcW w:w="5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регламентирующего механизма частно-государственного партнерства в системе социального обслуживания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89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частно - государственного партнерства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After w:val="1"/>
          <w:wAfter w:w="143" w:type="dxa"/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*Данный пункт Мониторинга субъектом Российской Федерации представляется ежегодно в срок установленный дополнительным запросом Минтруда России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Совершенствование статистического учета, характеризующего состояние системы социального обслуживания</w:t>
      </w:r>
    </w:p>
    <w:tbl>
      <w:tblPr>
        <w:tblW w:w="10406" w:type="dxa"/>
        <w:tblInd w:w="-432" w:type="dxa"/>
        <w:tblLook w:val="04A0" w:firstRow="1" w:lastRow="0" w:firstColumn="1" w:lastColumn="0" w:noHBand="0" w:noVBand="1"/>
      </w:tblPr>
      <w:tblGrid>
        <w:gridCol w:w="4427"/>
        <w:gridCol w:w="5979"/>
      </w:tblGrid>
      <w:tr w:rsidR="00D2329D" w:rsidRPr="00D2329D" w:rsidTr="00D2329D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предложения по совершенствованию статистического учета в системе социального обслуживания населения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D2329D" w:rsidRPr="00D2329D" w:rsidRDefault="00D2329D" w:rsidP="00D2329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Обобщение и анализ результатов реализации региональных программ, направленных на повышение качества жизни граждан пожилого возраста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06" w:type="dxa"/>
        <w:tblInd w:w="-432" w:type="dxa"/>
        <w:tblLook w:val="04A0" w:firstRow="1" w:lastRow="0" w:firstColumn="1" w:lastColumn="0" w:noHBand="0" w:noVBand="1"/>
      </w:tblPr>
      <w:tblGrid>
        <w:gridCol w:w="4427"/>
        <w:gridCol w:w="5979"/>
      </w:tblGrid>
      <w:tr w:rsidR="00D2329D" w:rsidRPr="00D2329D" w:rsidTr="00D2329D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субъекте Российской Федерации региональной программы, направленной на повышение качества жизни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Постановление Администрации Смоленской области от </w:t>
            </w:r>
            <w:bookmarkStart w:id="2" w:name="DATEDOC"/>
            <w:bookmarkEnd w:id="2"/>
            <w:r w:rsidRPr="00D232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28.11.2013            № </w:t>
            </w:r>
            <w:bookmarkStart w:id="3" w:name="NUM"/>
            <w:bookmarkEnd w:id="3"/>
            <w:r w:rsidRPr="00D232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974 «</w:t>
            </w:r>
            <w:r w:rsidRPr="00D2329D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ru-RU"/>
              </w:rPr>
              <w:t>Об утверждении  областной государственной программы «Социальная поддержка граждан, проживающих на территории Смоленской области» на 2014 – 2020 годы</w:t>
            </w:r>
          </w:p>
          <w:p w:rsidR="00D2329D" w:rsidRPr="00D2329D" w:rsidRDefault="00D2329D" w:rsidP="00D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hyperlink r:id="rId5" w:anchor="Par1570" w:tooltip="Ссылка на текущий документ" w:history="1">
              <w:r w:rsidRPr="00D2329D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Модернизация</w:t>
              </w:r>
            </w:hyperlink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социального обслуживания населения»</w:t>
            </w:r>
            <w:r w:rsidRPr="00D23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329D" w:rsidRPr="00D2329D" w:rsidTr="00D2329D">
        <w:trPr>
          <w:trHeight w:val="28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-368" w:type="dxa"/>
        <w:tblLook w:val="04A0" w:firstRow="1" w:lastRow="0" w:firstColumn="1" w:lastColumn="0" w:noHBand="0" w:noVBand="1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081"/>
      </w:tblGrid>
      <w:tr w:rsidR="00D2329D" w:rsidRPr="00D2329D" w:rsidTr="00D2329D">
        <w:trPr>
          <w:trHeight w:val="765"/>
        </w:trPr>
        <w:tc>
          <w:tcPr>
            <w:tcW w:w="9938" w:type="dxa"/>
            <w:gridSpan w:val="9"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619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255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м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ежду  учреждениями здравоохранения, аптечными учреждениями и учреждениями социального обслуживания населения – комплексными центрами социального обслуживания населения, по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дом.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ветераны 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ветераны 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</w:t>
            </w: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………..</w:t>
            </w: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………..</w:t>
            </w:r>
          </w:p>
        </w:tc>
      </w:tr>
      <w:tr w:rsidR="00D2329D" w:rsidRPr="00D2329D" w:rsidTr="00D2329D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D2329D" w:rsidRPr="00D2329D" w:rsidTr="00D2329D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368" w:type="dxa"/>
        <w:tblLook w:val="04A0" w:firstRow="1" w:lastRow="0" w:firstColumn="1" w:lastColumn="0" w:noHBand="0" w:noVBand="1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47"/>
      </w:tblGrid>
      <w:tr w:rsidR="00D2329D" w:rsidRPr="00D2329D" w:rsidTr="00D2329D">
        <w:trPr>
          <w:trHeight w:val="765"/>
        </w:trPr>
        <w:tc>
          <w:tcPr>
            <w:tcW w:w="9938" w:type="dxa"/>
            <w:gridSpan w:val="8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D2329D" w:rsidRPr="00D2329D" w:rsidTr="00D2329D">
        <w:trPr>
          <w:trHeight w:val="255"/>
        </w:trPr>
        <w:tc>
          <w:tcPr>
            <w:tcW w:w="66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79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нормативный правовой акт,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утверждающий Методику </w:t>
            </w:r>
          </w:p>
        </w:tc>
      </w:tr>
      <w:tr w:rsidR="00D2329D" w:rsidRPr="00D2329D" w:rsidTr="00D2329D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«работы со случаем» детей и семей, оказавшихся в кризисной ситуации (утверждена на заседании Методического совета СОГБУ СРЦН «Гармония», протокол заседания от 16.05.2014 № 5)</w:t>
            </w:r>
          </w:p>
          <w:p w:rsidR="00D2329D" w:rsidRPr="00D2329D" w:rsidRDefault="00D2329D" w:rsidP="00D232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социального сопровождения несовершеннолетних граждан и/или их семей в СОГБУ СРЦН «Гармония» (утвержден приказом СОГБУ СРЦН «Гармония» от 31.07.2015г.№ 73)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оказания услуг семьям с детьми-инвалидами и детьми с ограниченными возможностями в ОГБУ СРЦН «Феникс»             (утвержден приказом № 51 от 10.04.2014)</w:t>
            </w:r>
          </w:p>
        </w:tc>
      </w:tr>
      <w:tr w:rsidR="00D2329D" w:rsidRPr="00D2329D" w:rsidTr="00D2329D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социального сопровождения детей из семей, оказавшихся в кризисной ситуации, специалистами кризисной службы СОГБУ СРЦН «Гармония» (приказ СОГБУ СРЦН «Гармония» «О создании кризисной службы» от 15.05.2014        № 148, протокол заседания Методического совета СОГБУ СРЦН «Гармония» от 16.05.2014 № 5)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социального сопровождения семей, принявших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 (приказ СОГБУ СРЦН «Гармония» от 11.01.2016 № 6 «Об организации работы с замещающими семьями»)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Информацию, содержащую результаты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06" w:type="dxa"/>
        <w:tblInd w:w="-432" w:type="dxa"/>
        <w:tblLook w:val="04A0" w:firstRow="1" w:lastRow="0" w:firstColumn="1" w:lastColumn="0" w:noHBand="0" w:noVBand="1"/>
      </w:tblPr>
      <w:tblGrid>
        <w:gridCol w:w="4427"/>
        <w:gridCol w:w="5979"/>
      </w:tblGrid>
      <w:tr w:rsidR="00D2329D" w:rsidRPr="00D2329D" w:rsidTr="00D2329D">
        <w:trPr>
          <w:trHeight w:val="144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утверждающего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начальника Департамента Смоленской области по социальному  развитию от 04.09.2012  №  917 (в редакции приказа от  07.04.2014 №  422) «Об утверждении перспективной схемы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развития и размещения стационарных учреждений социального обслуживания граждан пожилого возраста и инвалидов на территории Смоленской области до 2020 года»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67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Представление годового отчета по реализации 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</w:t>
      </w: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учетом заявки субъекта Российской Федерации в рамках софинансирования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D2329D" w:rsidRPr="00D2329D" w:rsidRDefault="00D2329D" w:rsidP="00D2329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1923"/>
        <w:gridCol w:w="2586"/>
        <w:gridCol w:w="5751"/>
      </w:tblGrid>
      <w:tr w:rsidR="00D2329D" w:rsidRPr="00D2329D" w:rsidTr="00D2329D">
        <w:trPr>
          <w:trHeight w:val="79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субъекте Российской Федерации региональной программы, направленной на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государственная программа «Социальная поддержка граждан, проживающих на территории Смоленской области»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2014 - 2020 годы, утвержденная постановлением Администрации Смоленской области от 28.11.2013 № 974</w:t>
            </w:r>
          </w:p>
        </w:tc>
      </w:tr>
      <w:tr w:rsidR="00D2329D" w:rsidRPr="00D2329D" w:rsidTr="00D2329D">
        <w:trPr>
          <w:trHeight w:val="449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учреждений, для которых предусмотрено финансирование в рамках программы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объем средств на реализацию региональной программы, направленной на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D2329D" w:rsidRPr="00D2329D" w:rsidTr="00D2329D">
        <w:trPr>
          <w:trHeight w:val="359"/>
        </w:trPr>
        <w:tc>
          <w:tcPr>
            <w:tcW w:w="10196" w:type="dxa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D2329D" w:rsidRPr="00D2329D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32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32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правила и нормативы;</w:t>
                  </w:r>
                </w:p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32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эпидемиологические и гигиенические правила и нормативы;</w:t>
                  </w:r>
                </w:p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32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комплексной безопасности, в том числе пожарной безопасности</w:t>
                  </w:r>
                </w:p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D2329D" w:rsidRPr="00D2329D" w:rsidTr="00D2329D">
        <w:trPr>
          <w:trHeight w:val="765"/>
        </w:trPr>
        <w:tc>
          <w:tcPr>
            <w:tcW w:w="10196" w:type="dxa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D2329D" w:rsidRPr="00D2329D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29D" w:rsidRPr="00D2329D" w:rsidRDefault="00D2329D" w:rsidP="00D2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2329D" w:rsidRPr="00D2329D" w:rsidRDefault="00D2329D" w:rsidP="00D2329D">
                  <w:pPr>
                    <w:spacing w:after="0" w:line="240" w:lineRule="auto"/>
                    <w:ind w:left="3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32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D2329D" w:rsidRPr="00D2329D" w:rsidRDefault="00D2329D" w:rsidP="00D2329D">
                  <w:pPr>
                    <w:spacing w:after="0" w:line="240" w:lineRule="auto"/>
                    <w:ind w:left="3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2329D" w:rsidRPr="00D2329D" w:rsidRDefault="00D2329D" w:rsidP="00D2329D">
                  <w:pPr>
                    <w:spacing w:after="0" w:line="240" w:lineRule="auto"/>
                    <w:ind w:left="1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0" w:type="dxa"/>
        <w:tblInd w:w="-382" w:type="dxa"/>
        <w:tblLook w:val="04A0" w:firstRow="1" w:lastRow="0" w:firstColumn="1" w:lastColumn="0" w:noHBand="0" w:noVBand="1"/>
      </w:tblPr>
      <w:tblGrid>
        <w:gridCol w:w="2072"/>
        <w:gridCol w:w="403"/>
        <w:gridCol w:w="1975"/>
        <w:gridCol w:w="1900"/>
        <w:gridCol w:w="1284"/>
        <w:gridCol w:w="900"/>
        <w:gridCol w:w="1676"/>
      </w:tblGrid>
      <w:tr w:rsidR="00D2329D" w:rsidRPr="00D2329D" w:rsidTr="00D2329D">
        <w:trPr>
          <w:trHeight w:val="765"/>
        </w:trPr>
        <w:tc>
          <w:tcPr>
            <w:tcW w:w="10210" w:type="dxa"/>
            <w:gridSpan w:val="7"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4.5-4.7 Практика применения расчета нормативных затрат на оказание социальных услуг и использования механизма нормативно-подушевого финансирования в учреждениях социального обслуживания населения субъектов Российской Федерации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29D" w:rsidRPr="00D2329D" w:rsidTr="00D2329D">
        <w:trPr>
          <w:trHeight w:val="91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механизма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094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Наличие нормативных правовых актов,  утвердивших внедрение механизма 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нормативных правовых актов, регламентирующих нормативно-подушевое финансирование предоставления социальных услуг</w:t>
            </w:r>
          </w:p>
        </w:tc>
      </w:tr>
      <w:tr w:rsidR="00D2329D" w:rsidRPr="00D2329D" w:rsidTr="00D2329D">
        <w:trPr>
          <w:trHeight w:val="255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Наличие Методики расчета нормативных затрат на оказание социальных услуг с использованием механизма нормативно-подушевого 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акта, утверждающего Методику</w:t>
            </w:r>
          </w:p>
        </w:tc>
      </w:tr>
      <w:tr w:rsidR="00D2329D" w:rsidRPr="00D2329D" w:rsidTr="00D2329D">
        <w:trPr>
          <w:trHeight w:val="281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нормативов подушевого финансирования социальных услуг в учреждениях социального обслуживания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1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66" w:type="dxa"/>
        <w:tblInd w:w="-396" w:type="dxa"/>
        <w:tblLook w:val="04A0" w:firstRow="1" w:lastRow="0" w:firstColumn="1" w:lastColumn="0" w:noHBand="0" w:noVBand="1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75"/>
      </w:tblGrid>
      <w:tr w:rsidR="00D2329D" w:rsidRPr="00D2329D" w:rsidTr="00D2329D">
        <w:trPr>
          <w:trHeight w:val="503"/>
        </w:trPr>
        <w:tc>
          <w:tcPr>
            <w:tcW w:w="9966" w:type="dxa"/>
            <w:gridSpan w:val="8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D2329D" w:rsidRPr="00D2329D" w:rsidTr="00D2329D">
        <w:trPr>
          <w:trHeight w:val="255"/>
        </w:trPr>
        <w:tc>
          <w:tcPr>
            <w:tcW w:w="66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Департамента Смоленской области по социальному развитию со следственным управлением следственного комитета Российской Федерации по Смоленской области от 26.06.17            о создании в ОГБУ СРЦН «Феникс» Службы сопровождения несовершеннолетних, подвергшихся жестокому обращению.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ОГБУ СРЦН «Феникс» и Смоленского регионального отделения Межрегиональной общественной организации «Ассоциация Молодых предпринимателей» от 26.03.2014.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сотрудничестве ОГБУ СРЦН «Феникс» и Православной религиозной организации Смоленской епархии Церковной Русской Православной Церкви (Московского Патриархата) от 07.10.2013.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о сотрудничестве между ОГБУ СРЦН «Феникс» и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федеральным казённым учреждением «Уголовно-исполнительная инспекция Управления Федеральной службы исполнения наказаний по Смоленской области»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совместном взаимодействии и сотрудничестве в целях развития восстановительных практик в отношении несовершеннолетних, осуждённых к наказаниям не связанным с изоляцией от общества, и их семьям на безвозмездной основе специалистами Службы примирения «Открытая дверь»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30.09.2015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об организации совместной деятельности по профилактике детского и семейного неблагополучия с ГБУК «Смоленский областной центр народного творчества» от 15.01.2016.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сотрудничестве с МБУДО СДЮСШОР № 3.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«Реабилитационный центр для детей и подростков с ограниченными возможностями «Вишенки»: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совместной деятельности от 25.01.2016 с НКО БФ «Наше дело»;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совместной деятельности от 25.01.2016 с АНО СИЦ «Забота- Смоленск»;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о совместной деятельности от 25.01.2016 с НКО БФ «Дари добро детям»;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совместной деятельности от 25.01.2016СООО «Дети-Ангелы-Смоленск».  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Соглашения, заключенные Департаментом Смоленской области по социальному развитию с поставщиками социальных услуг: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 СОН г. Смоленска и Смоленской области «Социальное партнерство» с 01.01.2017 по 31.12.2017  № 411 от 14.02.2017;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АНО СОН г.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Рославля и Рославльского района «Социальное содействие» с 01.01.2017 по 31.12.2017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412 от 14.02.2017;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 СОН г. Смоленска и Смоленской области «Социальная забота» с 01.01.2017 по 31.12.2017 № 413 от 14.02.2017;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СООО «Дети-Ангелы-Смоленск» с 01.04.2017 по 31.12.2017 № 553 от 12.05.2017.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социальном партнерстве от 25.01.2018 со Смоленским казачьем обществом войскового казачьего общества «Центральное казачье общество»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социальных услуг в форме социального обслуживания на дому в соответствии с федеральным законом от 28.12.2013 № 442-ФЗ «Об основах </w:t>
            </w:r>
            <w:r w:rsidRPr="00D2329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социального обслуживания граждан в Российской Федерации».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ind w:firstLine="679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……………</w:t>
            </w:r>
          </w:p>
        </w:tc>
      </w:tr>
      <w:tr w:rsidR="00D2329D" w:rsidRPr="00D2329D" w:rsidTr="00D2329D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……………</w:t>
            </w:r>
          </w:p>
        </w:tc>
      </w:tr>
      <w:tr w:rsidR="00D2329D" w:rsidRPr="00D2329D" w:rsidTr="00D2329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……………</w:t>
            </w:r>
          </w:p>
        </w:tc>
      </w:tr>
      <w:tr w:rsidR="00D2329D" w:rsidRPr="00D2329D" w:rsidTr="00D2329D">
        <w:trPr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…………..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D232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75"/>
        <w:gridCol w:w="677"/>
        <w:gridCol w:w="995"/>
        <w:gridCol w:w="216"/>
        <w:gridCol w:w="2194"/>
        <w:gridCol w:w="709"/>
        <w:gridCol w:w="787"/>
        <w:gridCol w:w="216"/>
        <w:gridCol w:w="1061"/>
        <w:gridCol w:w="216"/>
        <w:gridCol w:w="680"/>
        <w:gridCol w:w="216"/>
        <w:gridCol w:w="1296"/>
      </w:tblGrid>
      <w:tr w:rsidR="00D2329D" w:rsidRPr="00D2329D" w:rsidTr="00D2329D">
        <w:trPr>
          <w:trHeight w:val="765"/>
        </w:trPr>
        <w:tc>
          <w:tcPr>
            <w:tcW w:w="9938" w:type="dxa"/>
            <w:gridSpan w:val="13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D2329D" w:rsidRPr="00D2329D" w:rsidTr="00D2329D">
        <w:trPr>
          <w:trHeight w:val="255"/>
        </w:trPr>
        <w:tc>
          <w:tcPr>
            <w:tcW w:w="675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347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Наличие нормативного правового акта, утверждающего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hd w:val="clear" w:color="auto" w:fill="FFFFFF"/>
              <w:spacing w:before="150" w:after="225" w:line="240" w:lineRule="auto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D232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08.05.2013 </w:t>
            </w:r>
            <w:r w:rsidRPr="00D2329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715-р/адм</w:t>
            </w:r>
            <w:r w:rsidRPr="00D2329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«</w:t>
            </w:r>
            <w:r w:rsidRPr="00D2329D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 организации работы по формированию в Смоленской области независимой системы оценки качества работы организаций, оказывающих социальные услуги»;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Приказ Минтруда России от 08.12.2014 № 995н</w:t>
            </w:r>
            <w:r w:rsidRPr="00D2329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«Об утверждении показателей, характеризующих общие критерии оценки качества оказания услуг организациями социального обслуживания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Критерии оценки: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2329D" w:rsidRPr="00D2329D" w:rsidTr="00D2329D">
        <w:trPr>
          <w:trHeight w:val="25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(процент выполнения организациями социального обслуживания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стационарной, полустационарной, надомной  формы обслуживания</w:t>
            </w: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в отношении которых проведена независимая оценка качества, 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(процент выполнения организациями социального обслуживания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стационарной, полустационарной, надомной  формы обслуживания</w:t>
            </w: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в отношении которых проведена независимая оценка качества, 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Критерии, характеризующие время ожидания предоставления социальной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(процент выполнения организациями социального обслуживания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полустационарной, надомной  формы обслуживания</w:t>
            </w: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в отношении которых проведена независимая оценка качества, 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(процент выполнения организациями социального обслуживания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стационарной, полустационарной, надомной  формы обслуживания</w:t>
            </w: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в отношении которых проведена независимая оценка качества, 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Критерии, характеризующие удовлетворенность качеством оказания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(процент выполнения организациями социального обслуживания</w:t>
            </w: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стационарной, полустационарной, надомной  формы обслуживания</w:t>
            </w:r>
            <w:r w:rsidRPr="00D23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в отношении которых проведена независимая оценка качества, 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529"/>
        </w:trPr>
        <w:tc>
          <w:tcPr>
            <w:tcW w:w="9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данному пункту представляется в описательной части к Мониторингу в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срок, установленный дополнительным запросом Минтруда России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D2329D" w:rsidRPr="00D2329D" w:rsidTr="00D2329D">
        <w:trPr>
          <w:trHeight w:val="255"/>
        </w:trPr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2329D" w:rsidRPr="00D2329D" w:rsidTr="00D2329D">
        <w:trPr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1358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Смоленской области по социальному развитию от 27.06.2013 № 612 «Об утверждении Типового положения о попечительском совете областного государственного учреждения социального обслуживания»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попечительских советах смоленских областных государственных бюджетных учреждениях социального обслуживания семьи и детей приведены в соответствие с вышеназванным положением.</w:t>
            </w:r>
          </w:p>
        </w:tc>
      </w:tr>
      <w:tr w:rsidR="00D2329D" w:rsidRPr="00D2329D" w:rsidTr="00D2329D">
        <w:trPr>
          <w:trHeight w:val="791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учреждений социального обслуживания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 с созданными в них попечительскими советами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попечительского совета в оценке качества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учреждением  социальных услуг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28"/>
        <w:gridCol w:w="575"/>
        <w:gridCol w:w="45"/>
        <w:gridCol w:w="558"/>
        <w:gridCol w:w="62"/>
        <w:gridCol w:w="540"/>
        <w:gridCol w:w="79"/>
        <w:gridCol w:w="1197"/>
        <w:gridCol w:w="236"/>
        <w:gridCol w:w="731"/>
        <w:gridCol w:w="575"/>
        <w:gridCol w:w="78"/>
        <w:gridCol w:w="882"/>
        <w:gridCol w:w="115"/>
        <w:gridCol w:w="803"/>
        <w:gridCol w:w="481"/>
        <w:gridCol w:w="1202"/>
        <w:gridCol w:w="477"/>
        <w:gridCol w:w="1632"/>
        <w:gridCol w:w="17"/>
      </w:tblGrid>
      <w:tr w:rsidR="00D2329D" w:rsidRPr="00D2329D" w:rsidTr="00D2329D">
        <w:trPr>
          <w:trHeight w:val="517"/>
        </w:trPr>
        <w:tc>
          <w:tcPr>
            <w:tcW w:w="10313" w:type="dxa"/>
            <w:gridSpan w:val="20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D2329D" w:rsidRPr="00D2329D" w:rsidTr="00D2329D">
        <w:trPr>
          <w:gridAfter w:val="2"/>
          <w:wAfter w:w="1649" w:type="dxa"/>
          <w:trHeight w:val="255"/>
        </w:trPr>
        <w:tc>
          <w:tcPr>
            <w:tcW w:w="603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5"/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trHeight w:val="873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эффективности деятельности организаций социального обслуживания граждан, находящихся в ведении Смоленской области 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(их руководителей)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Основная деятельность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государственного задания.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комплексной безопасности организации и проживающих (пребывающих) в нем граждан.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Отсутствие массовой заболеваемости обслуживаемых граждан инфекционными заболеваниями.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Удовлетворенность граждан качеством и доступностью предоставления социальных услуг.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Осуществление инновационной деятельности.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Обеспечение информационной открытости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Создание попечительского совета в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Проведение информационно-разъяснительной работы среди граждан, а также популяризация деятельности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Финансово-экономическая деятельность и исполнительская дисциплина организации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(руководителя).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качество.</w:t>
            </w:r>
          </w:p>
          <w:p w:rsidR="00D2329D" w:rsidRPr="00D2329D" w:rsidRDefault="00D2329D" w:rsidP="00D2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организации психоневрологического профиля.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Деятельность организации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(руководителя), направленная на работу с кадрами. 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организации работниками, непосредственно оказывающими социальные услуги.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Соблюдение сроков повышения квалификации работников организации, непосредственно оказывающих социальные услуги гражданам.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Доведение средней заработной платы соответствующих категорий работников организации до установленных соотношений среднемесячной заработной   платы   в Смоленской области  в соответствии с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Планом мероприятий </w:t>
            </w: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(«дорожная карта») «Повышение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и качества услуг в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социального обслуживания населения в Смоленской области (2013-2018 годы)», утвержденным постановлением Администрации Смоленской области от 28.02.2013 № 108.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предельной доли оплаты труда работников административно-управленческого персонала в фонде оплаты труда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Соблюдение целевого соотношения средней заработной платы основного и вспомогательного персонала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эффективности деятельности работников организаций социального обслуживания граждан, находящихся в ведении Смоленской области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числа основного персонала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трудовой дисциплины и надлежащее исполнение трудовых обязанностей.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Освоение программ повышения квалификации или профессиональной подготовки.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уровня профессиональной подготовки.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Использование новых эффективных технологий в процессе социального обслуживания граждан.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Участие в методической работе и инновационной деятельности.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Участие в создании и ведении социального паспорта.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Участие в конкурсах профессионального мастерства, творческих лабораториях, экспериментальных группах.</w:t>
            </w:r>
          </w:p>
          <w:p w:rsidR="00D2329D" w:rsidRPr="00D2329D" w:rsidRDefault="00D2329D" w:rsidP="00D2329D">
            <w:pPr>
              <w:tabs>
                <w:tab w:val="left" w:pos="7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Удовлетворенность граждан качеством и количеством предоставленных социальных услуг.</w:t>
            </w:r>
          </w:p>
        </w:tc>
      </w:tr>
      <w:tr w:rsidR="00D2329D" w:rsidRPr="00D2329D" w:rsidTr="00D2329D">
        <w:trPr>
          <w:trHeight w:val="900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оценки эффективности деятельности и результативности руководителей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Основная деятельность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государственного задания в полном объеме.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Соблюдение мер противопожарной и антитеррористической  безопасности, правил по охране труда, санитарно-гигиенических правил; наличие замечаний, исполненных в соответствии со сроками, указанными в предписаниях, представлениях, предложениях; наличие неисполненных в срок предписаний, представлений, предложений или исполненных с нарушением указанных сроков.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Соответствие созданных в организации условий проживания действующим требованиям, в том числе 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 дискомфорт), а также в обеспечении психологического комфорта и безопасных условий труда работников в результате несоблюдения действующих требований; отрицательная динамика в обеспечении безопасности здоровья и жизни граждан организации (нарушение санитарно-гигиенические условий, отсутствие безбарьерной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Отсутствие случаев массовой заболеваемости вследствие надлежащей организации профилактической работы среди граждан, проживающих в стационарных организациях, должного выполнения обязанностей по недопущению распространения заболеваемости.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Положительные результаты опроса (в форме анкетирования) граждан о качестве и доступности предоставления социальных услуг в организации; положительные результаты независимой оценки качества предоставления социальных услуг; 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Достижение позитивных результатов работы в условиях новых эффективных авторских социальных технологий по социальному обслуживанию населения, 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разработанных и внедренных в работу организации; участие (выступление с докладом) в работе международных, всероссийских межрегиональных, областных конференций. Организация и проведение социально значимых мероприятий.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Обеспечение регистрации и размещения информации об организации в соответствии с установленными показателями на федеральном портале.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Наличие в организации попечительского (общественного, наблюдательного) совета и его участие в независимой оценке качества работы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Наличие в организации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информацией; организация информационно-просветительной деятельности; наличие в организации официального Интернет-сайта и его системное сопровождение.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Финансово-экономическая деятельность и исполнительская дисциплина организации (руководителя).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Соблюдение сроков, установленных порядков и форм представления сведений, отчетов и статистической отчетности; нарушение сроков, установленных порядков и форм представления сведений, отчетов и статистической отчетности.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периода; привлечение и эффективное использование дополнительных внебюджетных средств, спонсорской помощи; наличие просроченной дебиторской и кредиторской задолженности в течение учетного периода;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проверок; наличие нормативного правового акта, регулирующего расходование средств, полученных от граждан за оказанные платные социальные услуги, в частности, в организациях психоневрологического профиля, целевое использование указанных средств; нормативное    регулирование    расходования   средств,   полученных в качестве благотворительной и спонсорской помощи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Деятельность организации (руководителя), направленная на работу с кадрами.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укомплектованности, составляющая 100 %; доля укомплектованности, составляющая менее 75 %.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Соблюдение установленных сроков повышения квалификации   работников.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Соблюдение установленных учреждению показателей соотношения средней заработной платы соответствующей  категории работников организации и доведения их в установленные сроки до среднемесячной заработной платы по субъектам Российской Федерации.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Соблюдение установленной учредителем доли оплаты труда работников административно-управленческого персонала в фонде оплаты труда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Соблюдение установленного учредителем целевого соотношения средней заработной платы основного и вспомогательного персонала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эффективности деятельности и результативности работников организаций социального обслуживания граждан, находящихся в ведении Смоленской области</w:t>
            </w:r>
          </w:p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числа основного персонала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организации,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Прохождение в установленные сроки курсов или программ повышения квалификации (не менее 72 часов).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Участие в методических семинарах (совещаниях, школах, курсах).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Разработка и реализация инновационных программ, проектов. Участие в методической работе организации;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учебно-методических, научно-методических публикаций, пособий, рекомендаций, выступлений и т.п.; зафиксированная положительная динамика в удовлетворенном спросе граждан на услуги в результате применения новых технологий социальной работы; наличие учебно-методических, научно-методических публикаций, пособий, рекомендаций, выступлений и т.п.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Предупреждение возникновения трудных жизненных ситуаций; проведение бесед, лекций с гражданами, находящимися на обслуживании, раздача информационных материалов.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Динамика системного участия работников организаций в указанных мероприятиях либо единичные случаи участия со значимыми результатами более широкого масштаба.</w:t>
            </w:r>
          </w:p>
          <w:p w:rsidR="00D2329D" w:rsidRPr="00D2329D" w:rsidRDefault="00D2329D" w:rsidP="00D2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Наличие письменных благодарностей за работу от граждан, общественных организаций и юридических лиц;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</w:tr>
      <w:tr w:rsidR="00D2329D" w:rsidRPr="00D2329D" w:rsidTr="00D2329D">
        <w:trPr>
          <w:trHeight w:val="255"/>
        </w:trPr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2329D" w:rsidRPr="00D2329D" w:rsidTr="00D2329D">
        <w:trPr>
          <w:trHeight w:val="25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trHeight w:val="255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Принятые нормативные акты</w:t>
            </w:r>
          </w:p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779"/>
        </w:trPr>
        <w:tc>
          <w:tcPr>
            <w:tcW w:w="10268" w:type="dxa"/>
            <w:gridSpan w:val="18"/>
            <w:vAlign w:val="bottom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329D" w:rsidRPr="00D2329D" w:rsidRDefault="00D2329D" w:rsidP="00D2329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информационно-разъяснительной работы </w:t>
            </w:r>
            <w:r w:rsidRPr="00D232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населением, о системе социального обслуживания, видах, условиях предоставления услуг</w:t>
            </w: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33"/>
        </w:trPr>
        <w:tc>
          <w:tcPr>
            <w:tcW w:w="40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97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318"/>
        </w:trPr>
        <w:tc>
          <w:tcPr>
            <w:tcW w:w="1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2329D" w:rsidRPr="00D2329D" w:rsidTr="00D2329D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9D" w:rsidRPr="00D2329D" w:rsidRDefault="00D2329D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73B58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73B58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9D" w:rsidRPr="00D2329D" w:rsidRDefault="00073B58" w:rsidP="00D2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</w:tr>
    </w:tbl>
    <w:p w:rsidR="00D2329D" w:rsidRPr="00D2329D" w:rsidRDefault="00D2329D" w:rsidP="00D2329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Информация по данному пункту представляется в описательной части к Мониторингу </w:t>
      </w:r>
    </w:p>
    <w:p w:rsidR="00D2329D" w:rsidRPr="00D2329D" w:rsidRDefault="00D2329D" w:rsidP="00D23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329D" w:rsidRPr="00D2329D">
          <w:pgSz w:w="11906" w:h="16838"/>
          <w:pgMar w:top="567" w:right="851" w:bottom="1134" w:left="1701" w:header="709" w:footer="709" w:gutter="0"/>
          <w:cols w:space="720"/>
        </w:sectPr>
      </w:pPr>
    </w:p>
    <w:p w:rsidR="00D2329D" w:rsidRPr="00D2329D" w:rsidRDefault="00D2329D" w:rsidP="00D24AB2">
      <w:pPr>
        <w:spacing w:line="256" w:lineRule="auto"/>
        <w:ind w:left="-567" w:firstLine="567"/>
        <w:jc w:val="center"/>
        <w:rPr>
          <w:rFonts w:ascii="Calibri" w:eastAsia="Calibri" w:hAnsi="Calibri" w:cs="Times New Roman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D24AB2" w:rsidRPr="00D24AB2" w:rsidTr="00C85806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AB2" w:rsidRPr="00D24AB2" w:rsidRDefault="00D24AB2" w:rsidP="00D24AB2">
            <w:pPr>
              <w:jc w:val="center"/>
              <w:rPr>
                <w:b/>
              </w:rPr>
            </w:pPr>
          </w:p>
          <w:p w:rsidR="00D24AB2" w:rsidRPr="00D24AB2" w:rsidRDefault="00D24AB2" w:rsidP="00D24AB2">
            <w:pPr>
              <w:jc w:val="center"/>
              <w:rPr>
                <w:b/>
              </w:rPr>
            </w:pPr>
            <w:r w:rsidRPr="00D24AB2">
              <w:rPr>
                <w:b/>
              </w:rPr>
              <w:t>Показатели повышения оплаты труда отдельных категорий работников</w:t>
            </w:r>
          </w:p>
          <w:p w:rsidR="00D24AB2" w:rsidRPr="00D24AB2" w:rsidRDefault="00D24AB2" w:rsidP="00D24AB2">
            <w:pPr>
              <w:jc w:val="center"/>
              <w:rPr>
                <w:b/>
              </w:rPr>
            </w:pPr>
            <w:r w:rsidRPr="00D24AB2">
              <w:rPr>
                <w:b/>
              </w:rPr>
              <w:t>с учетом направления на эти цели средств от мероприятий по оптимизации</w:t>
            </w:r>
          </w:p>
          <w:p w:rsidR="00D24AB2" w:rsidRPr="00D24AB2" w:rsidRDefault="00D24AB2" w:rsidP="00D24AB2">
            <w:pPr>
              <w:jc w:val="center"/>
              <w:rPr>
                <w:b/>
              </w:rPr>
            </w:pPr>
          </w:p>
        </w:tc>
      </w:tr>
      <w:tr w:rsidR="00D24AB2" w:rsidRPr="00D24AB2" w:rsidTr="00C85806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AB2" w:rsidRPr="00D24AB2" w:rsidRDefault="00D24AB2" w:rsidP="00D24AB2">
            <w:pPr>
              <w:rPr>
                <w:b/>
                <w:bCs/>
              </w:rPr>
            </w:pPr>
          </w:p>
          <w:p w:rsidR="00D24AB2" w:rsidRPr="00D24AB2" w:rsidRDefault="00D24AB2" w:rsidP="0065228C">
            <w:pPr>
              <w:jc w:val="center"/>
              <w:rPr>
                <w:b/>
                <w:bCs/>
              </w:rPr>
            </w:pPr>
            <w:r w:rsidRPr="00D24AB2">
              <w:rPr>
                <w:b/>
                <w:bCs/>
              </w:rPr>
              <w:t>Смоленская область</w:t>
            </w:r>
          </w:p>
        </w:tc>
      </w:tr>
      <w:tr w:rsidR="00D24AB2" w:rsidRPr="00D24AB2" w:rsidTr="00C85806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_________________________________________</w:t>
            </w:r>
            <w:r w:rsidRPr="00D24AB2">
              <w:rPr>
                <w:b/>
                <w:bCs/>
                <w:u w:val="single"/>
              </w:rPr>
              <w:t>педагогический персонал</w:t>
            </w:r>
            <w:r w:rsidRPr="00D24AB2">
              <w:rPr>
                <w:b/>
                <w:bCs/>
              </w:rPr>
              <w:t>____________________________________________________________</w:t>
            </w:r>
          </w:p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D24AB2" w:rsidRPr="00D24AB2" w:rsidTr="00C85806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B2" w:rsidRPr="00D24AB2" w:rsidRDefault="00D24AB2" w:rsidP="00D24AB2">
            <w:pPr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B2" w:rsidRPr="00D24AB2" w:rsidRDefault="00D24AB2" w:rsidP="00D24AB2">
            <w:pPr>
              <w:rPr>
                <w:b/>
                <w:bCs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AB2" w:rsidRPr="00D24AB2" w:rsidRDefault="00D24AB2" w:rsidP="00D24AB2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Отчетный год</w:t>
            </w:r>
          </w:p>
        </w:tc>
        <w:bookmarkStart w:id="4" w:name="_GoBack"/>
        <w:bookmarkEnd w:id="4"/>
      </w:tr>
      <w:tr w:rsidR="00D24AB2" w:rsidRPr="00D24AB2" w:rsidTr="00C85806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2017 г.</w:t>
            </w:r>
          </w:p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(предшествующий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4 квартал</w:t>
            </w:r>
          </w:p>
        </w:tc>
      </w:tr>
      <w:tr w:rsidR="00D24AB2" w:rsidRPr="00D24AB2" w:rsidTr="00C8580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AB2" w:rsidRPr="00D24AB2" w:rsidRDefault="00D24AB2" w:rsidP="00D24AB2">
            <w:pPr>
              <w:rPr>
                <w:b/>
                <w:bCs/>
              </w:rPr>
            </w:pPr>
            <w:r w:rsidRPr="00D24AB2">
              <w:rPr>
                <w:b/>
                <w:bCs/>
              </w:rPr>
              <w:t>7</w:t>
            </w:r>
          </w:p>
        </w:tc>
      </w:tr>
      <w:tr w:rsidR="00D24AB2" w:rsidRPr="00D24AB2" w:rsidTr="00C8580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r w:rsidRPr="00D24AB2"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22 202,00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23 200,00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23 200,00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>
            <w:r w:rsidRPr="00D24AB2">
              <w:t>23 405,00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>
            <w:r>
              <w:t>24 760,00</w:t>
            </w:r>
          </w:p>
        </w:tc>
      </w:tr>
      <w:tr w:rsidR="00D24AB2" w:rsidRPr="00D24AB2" w:rsidTr="00C8580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r w:rsidRPr="00D24AB2"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Среднемесячная заработная плата социальных работников,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AB2" w:rsidRPr="00D24AB2" w:rsidRDefault="00D24AB2" w:rsidP="00D24AB2"/>
        </w:tc>
      </w:tr>
      <w:tr w:rsidR="00D24AB2" w:rsidRPr="00D24AB2" w:rsidTr="00C8580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AB2" w:rsidRPr="00D24AB2" w:rsidRDefault="00D24AB2" w:rsidP="00D24AB2">
            <w:r w:rsidRPr="00D24AB2"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B2" w:rsidRPr="00D24AB2" w:rsidRDefault="00D24AB2" w:rsidP="00D24AB2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B2" w:rsidRPr="00D24AB2" w:rsidRDefault="00D24AB2" w:rsidP="00D24AB2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B2" w:rsidRPr="00D24AB2" w:rsidRDefault="00D24AB2" w:rsidP="00D24AB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B2" w:rsidRPr="00D24AB2" w:rsidRDefault="00D24AB2" w:rsidP="00D24AB2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B2" w:rsidRPr="00D24AB2" w:rsidRDefault="00D24AB2" w:rsidP="00D24AB2"/>
        </w:tc>
      </w:tr>
      <w:tr w:rsidR="00D24AB2" w:rsidRPr="00D24AB2" w:rsidTr="00C85806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r w:rsidRPr="00D24AB2"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AB2" w:rsidRPr="00D24AB2" w:rsidRDefault="00D24AB2" w:rsidP="00D24AB2">
            <w:r w:rsidRPr="00D24AB2">
              <w:t xml:space="preserve">Утвержденное в дорожной карте субъекта Российской Федерации соотношение  среднемесячной заработной </w:t>
            </w:r>
            <w:r w:rsidRPr="00D24AB2">
              <w:lastRenderedPageBreak/>
              <w:t>платы работников 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AB2" w:rsidRPr="00D24AB2" w:rsidRDefault="00D24AB2" w:rsidP="00D24AB2">
            <w:pPr>
              <w:rPr>
                <w:b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AB2" w:rsidRPr="00D24AB2" w:rsidRDefault="00D24AB2" w:rsidP="00D24AB2">
            <w:pPr>
              <w:rPr>
                <w:b/>
              </w:rPr>
            </w:pPr>
          </w:p>
        </w:tc>
      </w:tr>
    </w:tbl>
    <w:p w:rsidR="00D24AB2" w:rsidRPr="00D24AB2" w:rsidRDefault="00D24AB2" w:rsidP="00D24AB2">
      <w:pPr>
        <w:rPr>
          <w:i/>
          <w:iCs/>
        </w:rPr>
      </w:pPr>
    </w:p>
    <w:p w:rsidR="00D24AB2" w:rsidRPr="00D24AB2" w:rsidRDefault="00D24AB2" w:rsidP="00D24AB2"/>
    <w:p w:rsidR="00197C70" w:rsidRDefault="00D24AB2" w:rsidP="00D24AB2">
      <w:pPr>
        <w:ind w:left="-709" w:firstLine="142"/>
      </w:pPr>
      <w:r w:rsidRPr="00D24AB2">
        <w:t>* Среднемесячный доход от трудовой деятельности (план</w:t>
      </w:r>
    </w:p>
    <w:sectPr w:rsidR="00197C70" w:rsidSect="00D24A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FC"/>
    <w:rsid w:val="000053D7"/>
    <w:rsid w:val="00073B58"/>
    <w:rsid w:val="00197C70"/>
    <w:rsid w:val="001C7283"/>
    <w:rsid w:val="00292224"/>
    <w:rsid w:val="0065228C"/>
    <w:rsid w:val="009A58A0"/>
    <w:rsid w:val="009E0BB6"/>
    <w:rsid w:val="00CD666C"/>
    <w:rsid w:val="00D2329D"/>
    <w:rsid w:val="00D24AB2"/>
    <w:rsid w:val="00F03505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4206-8B39-4B55-A296-4490E449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2329D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32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29D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semiHidden/>
    <w:rsid w:val="00D232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2329D"/>
  </w:style>
  <w:style w:type="character" w:styleId="a3">
    <w:name w:val="Hyperlink"/>
    <w:uiPriority w:val="99"/>
    <w:semiHidden/>
    <w:unhideWhenUsed/>
    <w:rsid w:val="00D2329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29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232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23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329D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3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2329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D23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2329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D2329D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D2329D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D2329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semiHidden/>
    <w:rsid w:val="00D2329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0">
    <w:name w:val="Обычный + По правому краю"/>
    <w:basedOn w:val="2"/>
    <w:uiPriority w:val="99"/>
    <w:semiHidden/>
    <w:rsid w:val="00D2329D"/>
    <w:pPr>
      <w:framePr w:hSpace="180" w:wrap="auto" w:vAnchor="text" w:hAnchor="margin" w:y="-112"/>
      <w:spacing w:before="0" w:after="0" w:line="360" w:lineRule="auto"/>
      <w:jc w:val="center"/>
    </w:pPr>
    <w:rPr>
      <w:rFonts w:ascii="Times New Roman" w:hAnsi="Times New Roman"/>
      <w:b w:val="0"/>
      <w:bCs w:val="0"/>
      <w:color w:val="000080"/>
      <w:spacing w:val="-10"/>
    </w:rPr>
  </w:style>
  <w:style w:type="paragraph" w:customStyle="1" w:styleId="ConsPlusCell">
    <w:name w:val="ConsPlusCell"/>
    <w:uiPriority w:val="99"/>
    <w:semiHidden/>
    <w:rsid w:val="00D2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2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D2329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uiPriority w:val="99"/>
    <w:semiHidden/>
    <w:unhideWhenUsed/>
    <w:rsid w:val="00D2329D"/>
    <w:rPr>
      <w:rFonts w:ascii="Times New Roman" w:hAnsi="Times New Roman" w:cs="Times New Roman" w:hint="default"/>
      <w:vertAlign w:val="superscript"/>
    </w:rPr>
  </w:style>
  <w:style w:type="character" w:customStyle="1" w:styleId="s1">
    <w:name w:val="s1"/>
    <w:rsid w:val="00D2329D"/>
  </w:style>
  <w:style w:type="character" w:customStyle="1" w:styleId="apple-converted-space">
    <w:name w:val="apple-converted-space"/>
    <w:rsid w:val="00D2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&#1051;&#1068;&#1043;&#1040;\Downloads\&#1076;&#1086;&#1088;&#1086;&#1078;&#1085;&#1072;&#1103;%20&#1082;&#1072;&#1088;&#1090;&#1072;%202%20&#1082;&#1074;&#1072;&#1088;&#1090;&#1072;&#1083;%202018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7424</Words>
  <Characters>42320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2019-01-11T07:13:00Z</dcterms:created>
  <dcterms:modified xsi:type="dcterms:W3CDTF">2019-01-11T07:21:00Z</dcterms:modified>
</cp:coreProperties>
</file>